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1CB75">
      <w:pPr>
        <w:pStyle w:val="13"/>
        <w:jc w:val="center"/>
        <w:rPr>
          <w:sz w:val="56"/>
          <w:szCs w:val="56"/>
        </w:rPr>
      </w:pPr>
    </w:p>
    <w:p w14:paraId="2764085E">
      <w:pPr>
        <w:pStyle w:val="13"/>
        <w:jc w:val="center"/>
        <w:rPr>
          <w:sz w:val="56"/>
          <w:szCs w:val="56"/>
        </w:rPr>
      </w:pPr>
    </w:p>
    <w:p w14:paraId="79860450">
      <w:pPr>
        <w:pStyle w:val="13"/>
        <w:jc w:val="center"/>
        <w:rPr>
          <w:sz w:val="84"/>
          <w:szCs w:val="84"/>
        </w:rPr>
      </w:pPr>
    </w:p>
    <w:p w14:paraId="1B7A3DC5">
      <w:pPr>
        <w:pStyle w:val="13"/>
        <w:jc w:val="center"/>
        <w:rPr>
          <w:sz w:val="84"/>
          <w:szCs w:val="84"/>
        </w:rPr>
      </w:pPr>
    </w:p>
    <w:p w14:paraId="204ACD9F">
      <w:pPr>
        <w:pStyle w:val="13"/>
        <w:jc w:val="center"/>
        <w:rPr>
          <w:rFonts w:hint="eastAsia" w:ascii="黑体" w:hAnsi="黑体" w:eastAsia="黑体" w:cs="黑体"/>
          <w:sz w:val="84"/>
          <w:szCs w:val="84"/>
          <w:highlight w:val="none"/>
        </w:rPr>
      </w:pPr>
      <w:r>
        <w:rPr>
          <w:rFonts w:hint="eastAsia" w:ascii="黑体" w:hAnsi="黑体" w:eastAsia="黑体" w:cs="黑体"/>
          <w:sz w:val="84"/>
          <w:szCs w:val="84"/>
          <w:highlight w:val="none"/>
        </w:rPr>
        <w:t>202</w:t>
      </w:r>
      <w:r>
        <w:rPr>
          <w:rFonts w:hint="eastAsia" w:ascii="黑体" w:hAnsi="黑体" w:eastAsia="黑体" w:cs="黑体"/>
          <w:sz w:val="84"/>
          <w:szCs w:val="84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sz w:val="84"/>
          <w:szCs w:val="84"/>
          <w:highlight w:val="none"/>
        </w:rPr>
        <w:t>年度</w:t>
      </w:r>
    </w:p>
    <w:p w14:paraId="5570EC54">
      <w:pPr>
        <w:pStyle w:val="13"/>
        <w:jc w:val="center"/>
        <w:rPr>
          <w:rFonts w:hint="eastAsia" w:ascii="方正小标宋_GBK" w:hAnsi="方正小标宋_GBK" w:eastAsia="方正小标宋_GBK" w:cs="方正小标宋_GBK"/>
          <w:sz w:val="56"/>
          <w:szCs w:val="56"/>
          <w:highlight w:val="none"/>
        </w:rPr>
      </w:pPr>
      <w:r>
        <w:rPr>
          <w:rFonts w:hint="eastAsia" w:hAnsi="黑体" w:cs="黑体"/>
          <w:sz w:val="84"/>
          <w:szCs w:val="84"/>
          <w:highlight w:val="none"/>
          <w:lang w:eastAsia="zh-CN"/>
        </w:rPr>
        <w:t>怀化市机构编制委员会办公室</w:t>
      </w:r>
      <w:r>
        <w:rPr>
          <w:rFonts w:hint="eastAsia" w:ascii="黑体" w:hAnsi="黑体" w:eastAsia="黑体" w:cs="黑体"/>
          <w:sz w:val="84"/>
          <w:szCs w:val="84"/>
          <w:highlight w:val="none"/>
        </w:rPr>
        <w:t>部门决算</w:t>
      </w:r>
    </w:p>
    <w:p w14:paraId="21A44D97">
      <w:pPr>
        <w:pStyle w:val="13"/>
        <w:jc w:val="center"/>
        <w:rPr>
          <w:sz w:val="56"/>
          <w:szCs w:val="56"/>
          <w:highlight w:val="none"/>
        </w:rPr>
      </w:pPr>
    </w:p>
    <w:p w14:paraId="57CAA933">
      <w:pPr>
        <w:pStyle w:val="13"/>
        <w:jc w:val="center"/>
        <w:rPr>
          <w:sz w:val="56"/>
          <w:szCs w:val="56"/>
          <w:highlight w:val="none"/>
        </w:rPr>
      </w:pPr>
    </w:p>
    <w:p w14:paraId="3CF3EFEB">
      <w:pPr>
        <w:pStyle w:val="13"/>
        <w:jc w:val="center"/>
        <w:rPr>
          <w:sz w:val="56"/>
          <w:szCs w:val="56"/>
          <w:highlight w:val="none"/>
        </w:rPr>
      </w:pPr>
    </w:p>
    <w:p w14:paraId="494647D0">
      <w:pPr>
        <w:pStyle w:val="13"/>
        <w:jc w:val="center"/>
        <w:rPr>
          <w:sz w:val="32"/>
          <w:szCs w:val="32"/>
          <w:highlight w:val="none"/>
        </w:rPr>
      </w:pPr>
    </w:p>
    <w:p w14:paraId="25180011">
      <w:pPr>
        <w:rPr>
          <w:rFonts w:hint="eastAsia" w:ascii="仿宋_GB2312" w:hAnsi="仿宋" w:eastAsia="仿宋_GB2312" w:cs="仿宋"/>
          <w:b/>
          <w:sz w:val="36"/>
          <w:szCs w:val="28"/>
          <w:highlight w:val="none"/>
        </w:rPr>
      </w:pPr>
    </w:p>
    <w:p w14:paraId="556014D2">
      <w:pPr>
        <w:rPr>
          <w:rFonts w:hint="eastAsia" w:ascii="仿宋_GB2312" w:hAnsi="仿宋" w:eastAsia="仿宋_GB2312" w:cs="仿宋"/>
          <w:b/>
          <w:sz w:val="36"/>
          <w:szCs w:val="28"/>
          <w:highlight w:val="none"/>
        </w:rPr>
      </w:pPr>
      <w:r>
        <w:rPr>
          <w:rFonts w:hint="eastAsia" w:ascii="仿宋_GB2312" w:hAnsi="仿宋" w:eastAsia="仿宋_GB2312" w:cs="仿宋"/>
          <w:b/>
          <w:sz w:val="36"/>
          <w:szCs w:val="28"/>
          <w:highlight w:val="none"/>
        </w:rPr>
        <w:br w:type="page"/>
      </w:r>
    </w:p>
    <w:p w14:paraId="2B7C3E6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仿宋_GB2312" w:hAnsi="仿宋" w:eastAsia="仿宋_GB2312" w:cs="仿宋"/>
          <w:b/>
          <w:sz w:val="36"/>
          <w:szCs w:val="28"/>
          <w:highlight w:val="none"/>
        </w:rPr>
      </w:pPr>
      <w:r>
        <w:rPr>
          <w:rFonts w:hint="eastAsia" w:ascii="仿宋_GB2312" w:hAnsi="仿宋" w:eastAsia="仿宋_GB2312" w:cs="仿宋"/>
          <w:b/>
          <w:sz w:val="36"/>
          <w:szCs w:val="28"/>
          <w:highlight w:val="none"/>
        </w:rPr>
        <w:t>目录</w:t>
      </w:r>
    </w:p>
    <w:p w14:paraId="4299E45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仿宋_GB2312" w:hAnsi="仿宋" w:eastAsia="仿宋_GB2312" w:cs="仿宋"/>
          <w:b/>
          <w:sz w:val="36"/>
          <w:szCs w:val="28"/>
          <w:highlight w:val="none"/>
        </w:rPr>
      </w:pPr>
    </w:p>
    <w:p w14:paraId="41C6527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黑体" w:eastAsia="仿宋_GB2312"/>
          <w:b/>
          <w:bCs w:val="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 w:val="0"/>
          <w:sz w:val="32"/>
          <w:szCs w:val="32"/>
          <w:highlight w:val="none"/>
        </w:rPr>
        <w:t>第一部分</w:t>
      </w:r>
      <w:r>
        <w:rPr>
          <w:rFonts w:hint="eastAsia" w:ascii="仿宋_GB2312" w:hAnsi="黑体" w:eastAsia="仿宋_GB2312"/>
          <w:b/>
          <w:bCs w:val="0"/>
          <w:sz w:val="32"/>
          <w:szCs w:val="32"/>
          <w:highlight w:val="none"/>
          <w:lang w:eastAsia="zh-CN"/>
        </w:rPr>
        <w:t>怀化市机构编制委员会办公室</w:t>
      </w:r>
      <w:r>
        <w:rPr>
          <w:rFonts w:hint="eastAsia" w:ascii="仿宋_GB2312" w:hAnsi="黑体" w:eastAsia="仿宋_GB2312"/>
          <w:b/>
          <w:bCs w:val="0"/>
          <w:sz w:val="32"/>
          <w:szCs w:val="32"/>
          <w:highlight w:val="none"/>
        </w:rPr>
        <w:t>部门概况</w:t>
      </w:r>
    </w:p>
    <w:p w14:paraId="74E4453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一、部门职责</w:t>
      </w:r>
    </w:p>
    <w:p w14:paraId="0084A45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二、机构设置</w:t>
      </w:r>
    </w:p>
    <w:p w14:paraId="75FA76E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黑体" w:eastAsia="仿宋_GB2312"/>
          <w:b/>
          <w:bCs w:val="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 w:val="0"/>
          <w:sz w:val="32"/>
          <w:szCs w:val="32"/>
          <w:highlight w:val="none"/>
        </w:rPr>
        <w:t>第二部分部门决算表</w:t>
      </w:r>
    </w:p>
    <w:p w14:paraId="72ADC19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一、收入支出决算总表</w:t>
      </w:r>
    </w:p>
    <w:p w14:paraId="6B3F758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二、收入决算表</w:t>
      </w:r>
    </w:p>
    <w:p w14:paraId="1523CE5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三、支出决算表</w:t>
      </w:r>
    </w:p>
    <w:p w14:paraId="7B3E162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四、财政拨款收入支出决算总表</w:t>
      </w:r>
    </w:p>
    <w:p w14:paraId="7D43800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五、一般公共预算财政拨款支出决算表</w:t>
      </w:r>
    </w:p>
    <w:p w14:paraId="0E52051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六、一般公共预算财政拨款基本支出决算明细表</w:t>
      </w:r>
    </w:p>
    <w:p w14:paraId="650C3BA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七、政府性基金预算财政拨款收入支出决算表</w:t>
      </w:r>
    </w:p>
    <w:p w14:paraId="6774D86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八、国有资本经营预算财政拨款支出决算表</w:t>
      </w:r>
    </w:p>
    <w:p w14:paraId="706B2E7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九、财政拨款“三公”经费支出决算表</w:t>
      </w:r>
    </w:p>
    <w:p w14:paraId="1075AB6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黑体" w:eastAsia="仿宋_GB2312"/>
          <w:b/>
          <w:bCs w:val="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 w:val="0"/>
          <w:sz w:val="32"/>
          <w:szCs w:val="32"/>
          <w:highlight w:val="none"/>
        </w:rPr>
        <w:t>第三部分部门决算情况说明</w:t>
      </w:r>
    </w:p>
    <w:p w14:paraId="7E5578D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一、收入支出决算总体情况说明</w:t>
      </w:r>
    </w:p>
    <w:p w14:paraId="74E184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二、收入决算情况说明</w:t>
      </w:r>
    </w:p>
    <w:p w14:paraId="2728A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三、支出决算情况说明</w:t>
      </w:r>
    </w:p>
    <w:p w14:paraId="20301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四、财政拨款收入支出决算总体情况说明</w:t>
      </w:r>
    </w:p>
    <w:p w14:paraId="029D6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五、一般公共预算财政拨款支出决算情况说明</w:t>
      </w:r>
    </w:p>
    <w:p w14:paraId="6CB57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六、一般公共预算财政拨款基本支出决算情况说明</w:t>
      </w:r>
    </w:p>
    <w:p w14:paraId="1ED62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七、一般公共预算财政拨款三公经费支出决算情况说明</w:t>
      </w:r>
    </w:p>
    <w:p w14:paraId="0D27B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八、政府性基金预算收入支出决算情况说明</w:t>
      </w:r>
    </w:p>
    <w:p w14:paraId="6B4F7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九、国有资本经营预算财政拨款支出决算情况</w:t>
      </w:r>
    </w:p>
    <w:p w14:paraId="040AD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十、关于机关运行经费支出说明</w:t>
      </w:r>
    </w:p>
    <w:p w14:paraId="0A3E7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十一、一般性支出情况说明</w:t>
      </w:r>
    </w:p>
    <w:p w14:paraId="31043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十二、关于政府采购支出说明</w:t>
      </w:r>
    </w:p>
    <w:p w14:paraId="252CE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十三、关于国有资产占用情况说明</w:t>
      </w:r>
    </w:p>
    <w:p w14:paraId="17580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十四、关于预算绩效情况的说明</w:t>
      </w:r>
    </w:p>
    <w:p w14:paraId="639E72A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黑体" w:eastAsia="仿宋_GB2312"/>
          <w:b/>
          <w:bCs w:val="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 w:val="0"/>
          <w:sz w:val="32"/>
          <w:szCs w:val="32"/>
          <w:highlight w:val="none"/>
        </w:rPr>
        <w:t>第四部分名词解释</w:t>
      </w:r>
    </w:p>
    <w:p w14:paraId="48F6A40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黑体" w:eastAsia="仿宋_GB2312"/>
          <w:b/>
          <w:bCs w:val="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 w:val="0"/>
          <w:sz w:val="32"/>
          <w:szCs w:val="32"/>
          <w:highlight w:val="none"/>
        </w:rPr>
        <w:t>第五部分附件</w:t>
      </w:r>
    </w:p>
    <w:p w14:paraId="6539DCD8">
      <w:pPr>
        <w:jc w:val="center"/>
        <w:rPr>
          <w:sz w:val="72"/>
          <w:szCs w:val="72"/>
          <w:highlight w:val="none"/>
        </w:rPr>
      </w:pPr>
    </w:p>
    <w:p w14:paraId="20ACD873">
      <w:pPr>
        <w:jc w:val="center"/>
        <w:rPr>
          <w:sz w:val="72"/>
          <w:szCs w:val="72"/>
          <w:highlight w:val="none"/>
        </w:rPr>
      </w:pPr>
    </w:p>
    <w:p w14:paraId="066443F2">
      <w:pPr>
        <w:jc w:val="both"/>
        <w:rPr>
          <w:sz w:val="72"/>
          <w:szCs w:val="72"/>
          <w:highlight w:val="none"/>
        </w:rPr>
      </w:pPr>
    </w:p>
    <w:p w14:paraId="2E475752">
      <w:pPr>
        <w:rPr>
          <w:rFonts w:hint="eastAsia" w:ascii="方正小标宋_GBK" w:hAnsi="方正小标宋_GBK" w:eastAsia="方正小标宋_GBK" w:cs="方正小标宋_GBK"/>
          <w:sz w:val="72"/>
          <w:szCs w:val="72"/>
          <w:highlight w:val="none"/>
        </w:rPr>
      </w:pPr>
    </w:p>
    <w:p w14:paraId="1C095CBE">
      <w:pPr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br w:type="page"/>
      </w:r>
    </w:p>
    <w:p w14:paraId="192E3377">
      <w:pPr>
        <w:pStyle w:val="13"/>
        <w:jc w:val="center"/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t>第一部分</w:t>
      </w:r>
    </w:p>
    <w:p w14:paraId="3CCB840F">
      <w:pPr>
        <w:pStyle w:val="13"/>
        <w:jc w:val="center"/>
        <w:rPr>
          <w:sz w:val="72"/>
          <w:szCs w:val="72"/>
        </w:rPr>
      </w:pPr>
      <w:r>
        <w:rPr>
          <w:rFonts w:hint="eastAsia" w:hAnsi="黑体" w:cs="黑体"/>
          <w:sz w:val="44"/>
          <w:szCs w:val="44"/>
          <w:highlight w:val="none"/>
          <w:lang w:eastAsia="zh-CN"/>
        </w:rPr>
        <w:t>怀化市机构编制委员会办公室</w:t>
      </w:r>
      <w:r>
        <w:rPr>
          <w:rFonts w:hint="eastAsia" w:ascii="黑体" w:hAnsi="黑体" w:eastAsia="黑体" w:cs="黑体"/>
          <w:sz w:val="44"/>
          <w:szCs w:val="44"/>
          <w:highlight w:val="none"/>
        </w:rPr>
        <w:t>概况</w:t>
      </w:r>
    </w:p>
    <w:p w14:paraId="5FE7C5E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fill="FFFFFF"/>
        </w:rPr>
      </w:pPr>
    </w:p>
    <w:p w14:paraId="342EBAB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fill="FFFFFF"/>
        </w:rPr>
        <w:t>一、</w:t>
      </w:r>
      <w:r>
        <w:rPr>
          <w:rFonts w:hint="eastAsia" w:ascii="黑体" w:hAnsi="黑体" w:eastAsia="黑体" w:cs="黑体"/>
          <w:caps w:val="0"/>
          <w:color w:val="auto"/>
          <w:sz w:val="32"/>
          <w:szCs w:val="32"/>
          <w:shd w:val="clear" w:fill="FFFFFF"/>
          <w:vertAlign w:val="baseline"/>
        </w:rPr>
        <w:t>部门职责</w:t>
      </w:r>
    </w:p>
    <w:p w14:paraId="6E894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自2019年机构改革后，市委编办职能职责为涉密内容，略。</w:t>
      </w:r>
    </w:p>
    <w:p w14:paraId="418EBA3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aps w:val="0"/>
          <w:color w:val="auto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Cs/>
          <w:caps w:val="0"/>
          <w:color w:val="auto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二、机构设置及决算单位构成</w:t>
      </w:r>
    </w:p>
    <w:p w14:paraId="250CC94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aps w:val="0"/>
          <w:color w:val="auto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aps w:val="0"/>
          <w:color w:val="auto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（一）内设机构设置</w:t>
      </w:r>
    </w:p>
    <w:p w14:paraId="1DB43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自2019年机构改革后，市委编办机构设置为涉密内容，略。</w:t>
      </w:r>
    </w:p>
    <w:p w14:paraId="2CE39E3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caps w:val="0"/>
          <w:color w:val="auto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aps w:val="0"/>
          <w:color w:val="auto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（二）决算单位构成</w:t>
      </w:r>
    </w:p>
    <w:p w14:paraId="04119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怀化市委编办202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年部门决算汇总公开单位构成包括：怀化市委编办本级。</w:t>
      </w:r>
    </w:p>
    <w:p w14:paraId="1CF2B561">
      <w:pPr>
        <w:jc w:val="center"/>
        <w:rPr>
          <w:rFonts w:ascii="黑体" w:hAnsi="黑体" w:eastAsia="黑体"/>
          <w:sz w:val="28"/>
          <w:szCs w:val="28"/>
        </w:rPr>
      </w:pPr>
    </w:p>
    <w:p w14:paraId="4827AEDC">
      <w:pPr>
        <w:pStyle w:val="13"/>
        <w:jc w:val="center"/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第二部分</w:t>
      </w:r>
      <w:r>
        <w:rPr>
          <w:rFonts w:hint="eastAsia" w:ascii="黑体" w:hAnsi="黑体" w:eastAsia="黑体" w:cs="黑体"/>
          <w:sz w:val="44"/>
          <w:szCs w:val="44"/>
          <w:highlight w:val="none"/>
        </w:rPr>
        <w:t>部门决算表</w:t>
      </w:r>
    </w:p>
    <w:p w14:paraId="16EFD3A8">
      <w:pPr>
        <w:pStyle w:val="13"/>
        <w:jc w:val="center"/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highlight w:val="none"/>
        </w:rPr>
        <w:t>见附件</w:t>
      </w: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）</w:t>
      </w:r>
    </w:p>
    <w:p w14:paraId="023B3590">
      <w:pPr>
        <w:pStyle w:val="13"/>
        <w:jc w:val="both"/>
        <w:rPr>
          <w:rFonts w:hint="eastAsia" w:ascii="黑体" w:hAnsi="黑体" w:eastAsia="黑体" w:cs="黑体"/>
          <w:sz w:val="44"/>
          <w:szCs w:val="44"/>
          <w:highlight w:val="none"/>
        </w:rPr>
      </w:pPr>
    </w:p>
    <w:p w14:paraId="72A3A794">
      <w:pPr>
        <w:pStyle w:val="13"/>
        <w:jc w:val="center"/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t>第三部分</w:t>
      </w:r>
    </w:p>
    <w:p w14:paraId="68200C2E">
      <w:pPr>
        <w:pStyle w:val="13"/>
        <w:jc w:val="center"/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t>202</w:t>
      </w: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  <w:highlight w:val="none"/>
        </w:rPr>
        <w:t>年度部门决算情况说明</w:t>
      </w:r>
    </w:p>
    <w:p w14:paraId="3AD7571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25E759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一、收入支出决算总体情况说明</w:t>
      </w:r>
    </w:p>
    <w:p w14:paraId="671069E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年度收、支总计</w:t>
      </w:r>
      <w:r>
        <w:rPr>
          <w:rFonts w:hint="default" w:ascii="Times New Roman" w:hAnsi="Times New Roman" w:eastAsia="仿宋_GB2312"/>
          <w:sz w:val="32"/>
          <w:szCs w:val="32"/>
        </w:rPr>
        <w:t>各</w:t>
      </w:r>
      <w:r>
        <w:rPr>
          <w:rFonts w:hint="eastAsia" w:ascii="Times New Roman" w:hAnsi="Times New Roman" w:eastAsia="仿宋_GB2312"/>
          <w:sz w:val="32"/>
          <w:szCs w:val="32"/>
        </w:rPr>
        <w:t>均为525.49万元。与上年相比，增加</w:t>
      </w:r>
      <w:r>
        <w:rPr>
          <w:rFonts w:hint="default" w:ascii="Times New Roman" w:hAnsi="Times New Roman" w:eastAsia="仿宋_GB2312"/>
          <w:sz w:val="32"/>
          <w:szCs w:val="32"/>
        </w:rPr>
        <w:t>77.38</w:t>
      </w:r>
      <w:r>
        <w:rPr>
          <w:rFonts w:hint="eastAsia" w:ascii="Times New Roman" w:hAnsi="Times New Roman" w:eastAsia="仿宋_GB2312"/>
          <w:sz w:val="32"/>
          <w:szCs w:val="32"/>
        </w:rPr>
        <w:t>万元，增长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17.27</w:t>
      </w:r>
      <w:r>
        <w:rPr>
          <w:rFonts w:hint="eastAsia" w:ascii="Times New Roman" w:hAnsi="Times New Roman" w:eastAsia="仿宋_GB2312"/>
          <w:sz w:val="32"/>
          <w:szCs w:val="32"/>
        </w:rPr>
        <w:t>%，主要是因为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今年我市作为全省事业单位改革试点市之一，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工作任务增加，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机关运行经费支出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增长较多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。</w:t>
      </w:r>
    </w:p>
    <w:p w14:paraId="53520B0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二、收入决算情况说明</w:t>
      </w:r>
    </w:p>
    <w:p w14:paraId="4FAB740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年度收入合计</w:t>
      </w:r>
      <w:r>
        <w:rPr>
          <w:rFonts w:hint="default" w:ascii="Times New Roman" w:hAnsi="Times New Roman" w:eastAsia="仿宋_GB2312"/>
          <w:sz w:val="32"/>
          <w:szCs w:val="32"/>
        </w:rPr>
        <w:t>525.49</w:t>
      </w:r>
      <w:r>
        <w:rPr>
          <w:rFonts w:hint="eastAsia" w:ascii="Times New Roman" w:hAnsi="Times New Roman" w:eastAsia="仿宋_GB2312"/>
          <w:sz w:val="32"/>
          <w:szCs w:val="32"/>
        </w:rPr>
        <w:t>万元，其中：财政拨款收入</w:t>
      </w:r>
      <w:r>
        <w:rPr>
          <w:rFonts w:hint="default" w:ascii="Times New Roman" w:hAnsi="Times New Roman" w:eastAsia="仿宋_GB2312"/>
          <w:sz w:val="32"/>
          <w:szCs w:val="32"/>
        </w:rPr>
        <w:t>521.49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default" w:ascii="Times New Roman" w:hAnsi="Times New Roman" w:eastAsia="仿宋_GB2312"/>
          <w:sz w:val="32"/>
          <w:szCs w:val="32"/>
        </w:rPr>
        <w:t>99.23</w:t>
      </w:r>
      <w:r>
        <w:rPr>
          <w:rFonts w:hint="eastAsia" w:ascii="Times New Roman" w:hAnsi="Times New Roman" w:eastAsia="仿宋_GB2312"/>
          <w:sz w:val="32"/>
          <w:szCs w:val="32"/>
        </w:rPr>
        <w:t>%；其他收入</w:t>
      </w:r>
      <w:r>
        <w:rPr>
          <w:rFonts w:hint="default"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default" w:ascii="Times New Roman" w:hAnsi="Times New Roman" w:eastAsia="仿宋_GB2312"/>
          <w:sz w:val="32"/>
          <w:szCs w:val="32"/>
        </w:rPr>
        <w:t>0.77</w:t>
      </w:r>
      <w:r>
        <w:rPr>
          <w:rFonts w:hint="eastAsia" w:ascii="Times New Roman" w:hAnsi="Times New Roman" w:eastAsia="仿宋_GB2312"/>
          <w:sz w:val="32"/>
          <w:szCs w:val="32"/>
        </w:rPr>
        <w:t>%。</w:t>
      </w:r>
    </w:p>
    <w:p w14:paraId="393AD82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三、支出决算情况说明</w:t>
      </w:r>
    </w:p>
    <w:p w14:paraId="251D8F9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年度支出合计</w:t>
      </w:r>
      <w:r>
        <w:rPr>
          <w:rFonts w:hint="default" w:ascii="Times New Roman" w:hAnsi="Times New Roman" w:eastAsia="仿宋_GB2312"/>
          <w:sz w:val="32"/>
          <w:szCs w:val="32"/>
        </w:rPr>
        <w:t>525.49</w:t>
      </w:r>
      <w:r>
        <w:rPr>
          <w:rFonts w:hint="eastAsia" w:ascii="Times New Roman" w:hAnsi="Times New Roman" w:eastAsia="仿宋_GB2312"/>
          <w:sz w:val="32"/>
          <w:szCs w:val="32"/>
        </w:rPr>
        <w:t>万元，其中：基本支出</w:t>
      </w:r>
      <w:r>
        <w:rPr>
          <w:rFonts w:hint="default" w:ascii="Times New Roman" w:hAnsi="Times New Roman" w:eastAsia="仿宋_GB2312"/>
          <w:sz w:val="32"/>
          <w:szCs w:val="32"/>
        </w:rPr>
        <w:t>525.49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default" w:ascii="Times New Roman" w:hAnsi="Times New Roman" w:eastAsia="仿宋_GB2312"/>
          <w:sz w:val="32"/>
          <w:szCs w:val="32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%。</w:t>
      </w:r>
    </w:p>
    <w:p w14:paraId="04C4FD3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四、财政拨款收入支出决算总体情况说明</w:t>
      </w:r>
    </w:p>
    <w:p w14:paraId="678845B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年度财政拨款收、支总计均为</w:t>
      </w:r>
      <w:r>
        <w:rPr>
          <w:rFonts w:hint="default" w:ascii="Times New Roman" w:hAnsi="Times New Roman" w:eastAsia="仿宋_GB2312"/>
          <w:sz w:val="32"/>
          <w:szCs w:val="32"/>
        </w:rPr>
        <w:t>521.49</w:t>
      </w:r>
      <w:r>
        <w:rPr>
          <w:rFonts w:hint="eastAsia" w:ascii="Times New Roman" w:hAnsi="Times New Roman" w:eastAsia="仿宋_GB2312"/>
          <w:sz w:val="32"/>
          <w:szCs w:val="32"/>
        </w:rPr>
        <w:t>万元，与上年相比，增加</w:t>
      </w:r>
      <w:r>
        <w:rPr>
          <w:rFonts w:hint="default" w:ascii="Times New Roman" w:hAnsi="Times New Roman" w:eastAsia="仿宋_GB2312"/>
          <w:sz w:val="32"/>
          <w:szCs w:val="32"/>
        </w:rPr>
        <w:t>73.38</w:t>
      </w:r>
      <w:r>
        <w:rPr>
          <w:rFonts w:hint="eastAsia" w:ascii="Times New Roman" w:hAnsi="Times New Roman" w:eastAsia="仿宋_GB2312"/>
          <w:sz w:val="32"/>
          <w:szCs w:val="32"/>
        </w:rPr>
        <w:t>万元,增长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16.38</w:t>
      </w:r>
      <w:r>
        <w:rPr>
          <w:rFonts w:hint="eastAsia" w:ascii="Times New Roman" w:hAnsi="Times New Roman" w:eastAsia="仿宋_GB2312"/>
          <w:sz w:val="32"/>
          <w:szCs w:val="32"/>
        </w:rPr>
        <w:t>%，主要是因为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今年我市作为全省事业单位改革试点市之一，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工作任务增加，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机关运行经费支出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增长较多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0E13B19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五、一般公共预算财政拨款支出决算情况说明</w:t>
      </w:r>
    </w:p>
    <w:p w14:paraId="4F5DE8A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（一）财政拨款支出决算总体情况</w:t>
      </w:r>
    </w:p>
    <w:p w14:paraId="0C5D7AD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年度财政拨款支出</w:t>
      </w:r>
      <w:r>
        <w:rPr>
          <w:rFonts w:hint="default" w:ascii="Times New Roman" w:hAnsi="Times New Roman" w:eastAsia="仿宋_GB2312"/>
          <w:sz w:val="32"/>
          <w:szCs w:val="32"/>
        </w:rPr>
        <w:t>521.49</w:t>
      </w:r>
      <w:r>
        <w:rPr>
          <w:rFonts w:hint="eastAsia" w:ascii="Times New Roman" w:hAnsi="Times New Roman" w:eastAsia="仿宋_GB2312"/>
          <w:sz w:val="32"/>
          <w:szCs w:val="32"/>
        </w:rPr>
        <w:t>万元，占本年支出合计的</w:t>
      </w:r>
      <w:r>
        <w:rPr>
          <w:rFonts w:hint="default" w:ascii="Times New Roman" w:hAnsi="Times New Roman" w:eastAsia="仿宋_GB2312"/>
          <w:sz w:val="32"/>
          <w:szCs w:val="32"/>
        </w:rPr>
        <w:t>99.23</w:t>
      </w:r>
      <w:r>
        <w:rPr>
          <w:rFonts w:hint="eastAsia" w:ascii="Times New Roman" w:hAnsi="Times New Roman" w:eastAsia="仿宋_GB2312"/>
          <w:sz w:val="32"/>
          <w:szCs w:val="32"/>
        </w:rPr>
        <w:t>%，与上年相比，财政拨款支出增加</w:t>
      </w:r>
      <w:r>
        <w:rPr>
          <w:rFonts w:hint="default" w:ascii="Times New Roman" w:hAnsi="Times New Roman" w:eastAsia="仿宋_GB2312"/>
          <w:sz w:val="32"/>
          <w:szCs w:val="32"/>
        </w:rPr>
        <w:t>73.38</w:t>
      </w:r>
      <w:r>
        <w:rPr>
          <w:rFonts w:hint="eastAsia" w:ascii="Times New Roman" w:hAnsi="Times New Roman" w:eastAsia="仿宋_GB2312"/>
          <w:sz w:val="32"/>
          <w:szCs w:val="32"/>
        </w:rPr>
        <w:t>万元，增长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16.38</w:t>
      </w:r>
      <w:r>
        <w:rPr>
          <w:rFonts w:hint="eastAsia" w:ascii="Times New Roman" w:hAnsi="Times New Roman" w:eastAsia="仿宋_GB2312"/>
          <w:sz w:val="32"/>
          <w:szCs w:val="32"/>
        </w:rPr>
        <w:t>%，主要是因为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今年我市作为全省事业单位改革试点市之一，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工作任务增加，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机关运行经费支出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增长较多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044DDCE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（二）财政拨款支出决算结构情况</w:t>
      </w:r>
    </w:p>
    <w:p w14:paraId="35CB4BE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年度财政拨款支出</w:t>
      </w:r>
      <w:r>
        <w:rPr>
          <w:rFonts w:hint="default" w:ascii="Times New Roman" w:hAnsi="Times New Roman" w:eastAsia="仿宋_GB2312"/>
          <w:sz w:val="32"/>
          <w:szCs w:val="32"/>
        </w:rPr>
        <w:t>521.49</w:t>
      </w:r>
      <w:r>
        <w:rPr>
          <w:rFonts w:hint="eastAsia" w:ascii="Times New Roman" w:hAnsi="Times New Roman" w:eastAsia="仿宋_GB2312"/>
          <w:sz w:val="32"/>
          <w:szCs w:val="32"/>
        </w:rPr>
        <w:t>万元，主要用于以下方面：一般公共服务支出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457.35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87.70</w:t>
      </w:r>
      <w:r>
        <w:rPr>
          <w:rFonts w:hint="eastAsia" w:ascii="Times New Roman" w:hAnsi="Times New Roman" w:eastAsia="仿宋_GB2312"/>
          <w:sz w:val="32"/>
          <w:szCs w:val="32"/>
        </w:rPr>
        <w:t>%；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社会保障和就业支出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29.88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_GB2312"/>
          <w:sz w:val="32"/>
          <w:szCs w:val="32"/>
        </w:rPr>
        <w:t>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5.73%；卫生健康支出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34.25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_GB2312"/>
          <w:sz w:val="32"/>
          <w:szCs w:val="32"/>
        </w:rPr>
        <w:t>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6.57%。</w:t>
      </w:r>
    </w:p>
    <w:p w14:paraId="288536A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（三）财政拨款支出决算具体情况</w:t>
      </w:r>
    </w:p>
    <w:p w14:paraId="2214C95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年度财政拨款支出年初预算数为</w:t>
      </w:r>
      <w:r>
        <w:rPr>
          <w:rFonts w:hint="default" w:ascii="Times New Roman" w:hAnsi="Times New Roman" w:eastAsia="仿宋_GB2312"/>
          <w:sz w:val="32"/>
          <w:szCs w:val="32"/>
        </w:rPr>
        <w:t>347.04</w:t>
      </w:r>
      <w:r>
        <w:rPr>
          <w:rFonts w:hint="eastAsia" w:ascii="Times New Roman" w:hAnsi="Times New Roman" w:eastAsia="仿宋_GB2312"/>
          <w:sz w:val="32"/>
          <w:szCs w:val="32"/>
        </w:rPr>
        <w:t>万元，支出决算数为</w:t>
      </w:r>
      <w:r>
        <w:rPr>
          <w:rFonts w:hint="default" w:ascii="Times New Roman" w:hAnsi="Times New Roman" w:eastAsia="仿宋_GB2312"/>
          <w:sz w:val="32"/>
          <w:szCs w:val="32"/>
        </w:rPr>
        <w:t>521.49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default" w:ascii="Times New Roman" w:hAnsi="Times New Roman" w:eastAsia="仿宋_GB2312"/>
          <w:sz w:val="32"/>
          <w:szCs w:val="32"/>
        </w:rPr>
        <w:t>150.26</w:t>
      </w:r>
      <w:r>
        <w:rPr>
          <w:rFonts w:hint="eastAsia" w:ascii="Times New Roman" w:hAnsi="Times New Roman" w:eastAsia="仿宋_GB2312"/>
          <w:sz w:val="32"/>
          <w:szCs w:val="32"/>
        </w:rPr>
        <w:t>%，其中：</w:t>
      </w:r>
    </w:p>
    <w:p w14:paraId="0430669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1、一般公共服务（</w:t>
      </w:r>
      <w:r>
        <w:rPr>
          <w:rFonts w:hint="eastAsia" w:ascii="仿宋" w:hAnsi="仿宋" w:eastAsia="仿宋"/>
          <w:sz w:val="32"/>
          <w:szCs w:val="32"/>
        </w:rPr>
        <w:t>类</w:t>
      </w:r>
      <w:r>
        <w:rPr>
          <w:rFonts w:hint="eastAsia" w:ascii="Times New Roman" w:hAnsi="Times New Roman" w:eastAsia="仿宋_GB2312"/>
          <w:sz w:val="32"/>
          <w:szCs w:val="32"/>
        </w:rPr>
        <w:t>）组织事务（</w:t>
      </w:r>
      <w:r>
        <w:rPr>
          <w:rFonts w:hint="eastAsia" w:ascii="仿宋" w:hAnsi="仿宋" w:eastAsia="仿宋"/>
          <w:sz w:val="32"/>
          <w:szCs w:val="32"/>
        </w:rPr>
        <w:t>款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行政运行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项</w:t>
      </w:r>
      <w:r>
        <w:rPr>
          <w:rFonts w:hint="eastAsia" w:ascii="Times New Roman" w:hAnsi="Times New Roman" w:eastAsia="仿宋_GB2312"/>
          <w:sz w:val="32"/>
          <w:szCs w:val="32"/>
        </w:rPr>
        <w:t>）。</w:t>
      </w:r>
    </w:p>
    <w:p w14:paraId="204A908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default" w:ascii="Times New Roman" w:hAnsi="Times New Roman" w:eastAsia="仿宋_GB2312"/>
          <w:sz w:val="32"/>
          <w:szCs w:val="32"/>
        </w:rPr>
        <w:t>347.04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447.43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128.93</w:t>
      </w:r>
      <w:r>
        <w:rPr>
          <w:rFonts w:hint="eastAsia" w:ascii="Times New Roman" w:hAnsi="Times New Roman" w:eastAsia="仿宋_GB2312"/>
          <w:sz w:val="32"/>
          <w:szCs w:val="32"/>
        </w:rPr>
        <w:t>%，决算数大于年初预算数的主要原因是：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工作量增加，追加相关业务经费。</w:t>
      </w:r>
    </w:p>
    <w:p w14:paraId="51E0B67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2、一般公共服务支出（</w:t>
      </w:r>
      <w:r>
        <w:rPr>
          <w:rFonts w:hint="eastAsia" w:ascii="仿宋" w:hAnsi="仿宋" w:eastAsia="仿宋"/>
          <w:sz w:val="32"/>
          <w:szCs w:val="32"/>
        </w:rPr>
        <w:t>类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组织事务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款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其他组织事务支出（</w:t>
      </w:r>
      <w:r>
        <w:rPr>
          <w:rFonts w:hint="eastAsia" w:ascii="仿宋" w:hAnsi="仿宋" w:eastAsia="仿宋"/>
          <w:sz w:val="32"/>
          <w:szCs w:val="32"/>
        </w:rPr>
        <w:t>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79F5923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9.93</w:t>
      </w:r>
      <w:r>
        <w:rPr>
          <w:rFonts w:hint="eastAsia" w:ascii="Times New Roman" w:hAnsi="Times New Roman" w:eastAsia="仿宋_GB2312"/>
          <w:sz w:val="32"/>
          <w:szCs w:val="32"/>
        </w:rPr>
        <w:t>万元，决算数大于年初预算数的主要原因是：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工作量增加，追加相关业务经费。</w:t>
      </w:r>
    </w:p>
    <w:p w14:paraId="7C997A7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、社会保障和就业支出（</w:t>
      </w:r>
      <w:r>
        <w:rPr>
          <w:rFonts w:hint="eastAsia" w:ascii="仿宋" w:hAnsi="仿宋" w:eastAsia="仿宋"/>
          <w:sz w:val="32"/>
          <w:szCs w:val="32"/>
        </w:rPr>
        <w:t>类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行政事业单位养老支出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款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机关事业单位基本养老保险缴费支出（</w:t>
      </w:r>
      <w:r>
        <w:rPr>
          <w:rFonts w:hint="eastAsia" w:ascii="仿宋" w:hAnsi="仿宋" w:eastAsia="仿宋"/>
          <w:sz w:val="32"/>
          <w:szCs w:val="32"/>
        </w:rPr>
        <w:t>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26BD6BA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29.88</w:t>
      </w:r>
      <w:r>
        <w:rPr>
          <w:rFonts w:hint="eastAsia" w:ascii="Times New Roman" w:hAnsi="Times New Roman" w:eastAsia="仿宋_GB2312"/>
          <w:sz w:val="32"/>
          <w:szCs w:val="32"/>
        </w:rPr>
        <w:t>万元，决算数大于年初预算数的主要原因是：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工作量增加，追加相关业务经费。</w:t>
      </w:r>
    </w:p>
    <w:p w14:paraId="7FAE6D3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、卫生健康支出（</w:t>
      </w:r>
      <w:r>
        <w:rPr>
          <w:rFonts w:hint="eastAsia" w:ascii="仿宋" w:hAnsi="仿宋" w:eastAsia="仿宋"/>
          <w:sz w:val="32"/>
          <w:szCs w:val="32"/>
        </w:rPr>
        <w:t>类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公共卫生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款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突发公共卫生事件应急处理（</w:t>
      </w:r>
      <w:r>
        <w:rPr>
          <w:rFonts w:hint="eastAsia" w:ascii="仿宋" w:hAnsi="仿宋" w:eastAsia="仿宋"/>
          <w:sz w:val="32"/>
          <w:szCs w:val="32"/>
        </w:rPr>
        <w:t>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35B95F6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3.43</w:t>
      </w:r>
      <w:r>
        <w:rPr>
          <w:rFonts w:hint="eastAsia" w:ascii="Times New Roman" w:hAnsi="Times New Roman" w:eastAsia="仿宋_GB2312"/>
          <w:sz w:val="32"/>
          <w:szCs w:val="32"/>
        </w:rPr>
        <w:t>万元，决算数大于年初预算数的主要原因是：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工作量增加，追加相关业务经费。</w:t>
      </w:r>
    </w:p>
    <w:p w14:paraId="0F7E98C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、卫生健康支出（</w:t>
      </w:r>
      <w:r>
        <w:rPr>
          <w:rFonts w:hint="eastAsia" w:ascii="仿宋" w:hAnsi="仿宋" w:eastAsia="仿宋"/>
          <w:sz w:val="32"/>
          <w:szCs w:val="32"/>
        </w:rPr>
        <w:t>类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行政事业单位医疗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款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行政单位医疗（</w:t>
      </w:r>
      <w:r>
        <w:rPr>
          <w:rFonts w:hint="eastAsia" w:ascii="仿宋" w:hAnsi="仿宋" w:eastAsia="仿宋"/>
          <w:sz w:val="32"/>
          <w:szCs w:val="32"/>
        </w:rPr>
        <w:t>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5004F6E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30.82</w:t>
      </w:r>
      <w:r>
        <w:rPr>
          <w:rFonts w:hint="eastAsia" w:ascii="Times New Roman" w:hAnsi="Times New Roman" w:eastAsia="仿宋_GB2312"/>
          <w:sz w:val="32"/>
          <w:szCs w:val="32"/>
        </w:rPr>
        <w:t>万元，决算数大于年初预算数的主要原因是：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工作量增加，追加相关业务经费。</w:t>
      </w:r>
    </w:p>
    <w:p w14:paraId="657B0D5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六、一般公共预算财政拨款基本支出决算情况说明</w:t>
      </w:r>
    </w:p>
    <w:p w14:paraId="4554E50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年度财政拨款基本支出</w:t>
      </w:r>
      <w:r>
        <w:rPr>
          <w:rFonts w:hint="default" w:ascii="Times New Roman" w:hAnsi="Times New Roman" w:eastAsia="仿宋_GB2312"/>
          <w:sz w:val="32"/>
          <w:szCs w:val="32"/>
        </w:rPr>
        <w:t>521.49</w:t>
      </w:r>
      <w:r>
        <w:rPr>
          <w:rFonts w:hint="eastAsia" w:ascii="Times New Roman" w:hAnsi="Times New Roman" w:eastAsia="仿宋_GB2312"/>
          <w:sz w:val="32"/>
          <w:szCs w:val="32"/>
        </w:rPr>
        <w:t>万元，其中：</w:t>
      </w:r>
    </w:p>
    <w:p w14:paraId="453D40E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人员经费</w:t>
      </w:r>
      <w:r>
        <w:rPr>
          <w:rFonts w:hint="default" w:ascii="Times New Roman" w:hAnsi="Times New Roman" w:eastAsia="仿宋_GB2312"/>
          <w:sz w:val="32"/>
          <w:szCs w:val="32"/>
        </w:rPr>
        <w:t>421.30</w:t>
      </w:r>
      <w:r>
        <w:rPr>
          <w:rFonts w:hint="eastAsia" w:ascii="Times New Roman" w:hAnsi="Times New Roman" w:eastAsia="仿宋_GB2312"/>
          <w:sz w:val="32"/>
          <w:szCs w:val="32"/>
        </w:rPr>
        <w:t>万元，占基本支出的</w:t>
      </w:r>
      <w:r>
        <w:rPr>
          <w:rFonts w:hint="default" w:ascii="Times New Roman" w:hAnsi="Times New Roman" w:eastAsia="仿宋_GB2312"/>
          <w:sz w:val="32"/>
          <w:szCs w:val="32"/>
        </w:rPr>
        <w:t>80.79</w:t>
      </w:r>
      <w:r>
        <w:rPr>
          <w:rFonts w:hint="eastAsia" w:ascii="Times New Roman" w:hAnsi="Times New Roman" w:eastAsia="仿宋_GB2312"/>
          <w:sz w:val="32"/>
          <w:szCs w:val="32"/>
        </w:rPr>
        <w:t>%,主要包括基本工资</w:t>
      </w:r>
      <w:r>
        <w:rPr>
          <w:rFonts w:hint="default" w:ascii="Times New Roman" w:hAnsi="Times New Roman" w:eastAsia="仿宋_GB2312"/>
          <w:sz w:val="32"/>
          <w:szCs w:val="32"/>
        </w:rPr>
        <w:t>130.94万元</w:t>
      </w:r>
      <w:r>
        <w:rPr>
          <w:rFonts w:hint="eastAsia" w:ascii="Times New Roman" w:hAnsi="Times New Roman" w:eastAsia="仿宋_GB2312"/>
          <w:sz w:val="32"/>
          <w:szCs w:val="32"/>
        </w:rPr>
        <w:t>、津贴补贴</w:t>
      </w:r>
      <w:r>
        <w:rPr>
          <w:rFonts w:hint="default" w:ascii="Times New Roman" w:hAnsi="Times New Roman" w:eastAsia="仿宋_GB2312"/>
          <w:sz w:val="32"/>
          <w:szCs w:val="32"/>
        </w:rPr>
        <w:t>66.60万元</w:t>
      </w:r>
      <w:r>
        <w:rPr>
          <w:rFonts w:hint="eastAsia" w:ascii="Times New Roman" w:hAnsi="Times New Roman" w:eastAsia="仿宋_GB2312"/>
          <w:sz w:val="32"/>
          <w:szCs w:val="32"/>
        </w:rPr>
        <w:t>、奖金</w:t>
      </w:r>
      <w:r>
        <w:rPr>
          <w:rFonts w:hint="default" w:ascii="Times New Roman" w:hAnsi="Times New Roman" w:eastAsia="仿宋_GB2312"/>
          <w:sz w:val="32"/>
          <w:szCs w:val="32"/>
        </w:rPr>
        <w:t>81.27万元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default" w:ascii="Times New Roman" w:hAnsi="Times New Roman" w:eastAsia="仿宋_GB2312"/>
          <w:sz w:val="32"/>
          <w:szCs w:val="32"/>
        </w:rPr>
        <w:t>绩效工资26.29万元，机关事业单位基本养老保险缴费29.88万元，职工基本医疗保险缴费30.82万元，其他社会保障缴费4.16万元，退休费45.73万元，生活补助0.83万元，奖励金0.6万元，其他对个人与家庭的补助4.18万元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7F0AF37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公用经费</w:t>
      </w:r>
      <w:r>
        <w:rPr>
          <w:rFonts w:hint="default" w:ascii="Times New Roman" w:hAnsi="Times New Roman" w:eastAsia="仿宋_GB2312"/>
          <w:sz w:val="32"/>
          <w:szCs w:val="32"/>
        </w:rPr>
        <w:t>100.19</w:t>
      </w:r>
      <w:r>
        <w:rPr>
          <w:rFonts w:hint="eastAsia" w:ascii="Times New Roman" w:hAnsi="Times New Roman" w:eastAsia="仿宋_GB2312"/>
          <w:sz w:val="32"/>
          <w:szCs w:val="32"/>
        </w:rPr>
        <w:t>万元，占基本支出的</w:t>
      </w:r>
      <w:r>
        <w:rPr>
          <w:rFonts w:hint="default" w:ascii="Times New Roman" w:hAnsi="Times New Roman" w:eastAsia="仿宋_GB2312"/>
          <w:sz w:val="32"/>
          <w:szCs w:val="32"/>
        </w:rPr>
        <w:t>19.21</w:t>
      </w:r>
      <w:r>
        <w:rPr>
          <w:rFonts w:hint="eastAsia" w:ascii="Times New Roman" w:hAnsi="Times New Roman" w:eastAsia="仿宋_GB2312"/>
          <w:sz w:val="32"/>
          <w:szCs w:val="32"/>
        </w:rPr>
        <w:t>%，主要包括办公费</w:t>
      </w:r>
      <w:r>
        <w:rPr>
          <w:rFonts w:hint="default" w:ascii="Times New Roman" w:hAnsi="Times New Roman" w:eastAsia="仿宋_GB2312"/>
          <w:sz w:val="32"/>
          <w:szCs w:val="32"/>
        </w:rPr>
        <w:t>16.82万元</w:t>
      </w:r>
      <w:r>
        <w:rPr>
          <w:rFonts w:hint="eastAsia" w:ascii="Times New Roman" w:hAnsi="Times New Roman" w:eastAsia="仿宋_GB2312"/>
          <w:sz w:val="32"/>
          <w:szCs w:val="32"/>
        </w:rPr>
        <w:t>、印刷费</w:t>
      </w:r>
      <w:r>
        <w:rPr>
          <w:rFonts w:hint="default" w:ascii="Times New Roman" w:hAnsi="Times New Roman" w:eastAsia="仿宋_GB2312"/>
          <w:sz w:val="32"/>
          <w:szCs w:val="32"/>
        </w:rPr>
        <w:t>5.33万元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default" w:ascii="Times New Roman" w:hAnsi="Times New Roman" w:eastAsia="仿宋_GB2312"/>
          <w:sz w:val="32"/>
          <w:szCs w:val="32"/>
        </w:rPr>
        <w:t>邮电</w:t>
      </w:r>
      <w:r>
        <w:rPr>
          <w:rFonts w:hint="eastAsia" w:ascii="Times New Roman" w:hAnsi="Times New Roman" w:eastAsia="仿宋_GB2312"/>
          <w:sz w:val="32"/>
          <w:szCs w:val="32"/>
        </w:rPr>
        <w:t>费</w:t>
      </w:r>
      <w:r>
        <w:rPr>
          <w:rFonts w:hint="default" w:ascii="Times New Roman" w:hAnsi="Times New Roman" w:eastAsia="仿宋_GB2312"/>
          <w:sz w:val="32"/>
          <w:szCs w:val="32"/>
        </w:rPr>
        <w:t>2.28万元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default" w:ascii="Times New Roman" w:hAnsi="Times New Roman" w:eastAsia="仿宋_GB2312"/>
          <w:sz w:val="32"/>
          <w:szCs w:val="32"/>
        </w:rPr>
        <w:t>差旅</w:t>
      </w:r>
      <w:r>
        <w:rPr>
          <w:rFonts w:hint="eastAsia" w:ascii="Times New Roman" w:hAnsi="Times New Roman" w:eastAsia="仿宋_GB2312"/>
          <w:sz w:val="32"/>
          <w:szCs w:val="32"/>
        </w:rPr>
        <w:t>费</w:t>
      </w:r>
      <w:r>
        <w:rPr>
          <w:rFonts w:hint="default" w:ascii="Times New Roman" w:hAnsi="Times New Roman" w:eastAsia="仿宋_GB2312"/>
          <w:sz w:val="32"/>
          <w:szCs w:val="32"/>
        </w:rPr>
        <w:t>10.59万元，会议费0.62万元，培训费3.91万元，公务接待费0.74万元，工会经费13万元，福利费11.63万元，公务用车运行维护费1.89万元，其他交通费用20.34万元，其他商品和服务支出13.05万元。</w:t>
      </w:r>
    </w:p>
    <w:p w14:paraId="2E4CAF02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财政拨款三公经费支出决算情况说明</w:t>
      </w:r>
    </w:p>
    <w:p w14:paraId="2D2BF1C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（一）“三公”经费财政拨款支出决算总体情况说明</w:t>
      </w:r>
    </w:p>
    <w:p w14:paraId="34A1DC4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“三公”经费财政拨款支出预算为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5.84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万元，支出决算为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2.62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万元，完成预算的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44.86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%，决算数小于预算数的主要原因是落实过“紧日子”要求，严格执行开支标准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厉行节约；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与上年相比减少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0.37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下降12.37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%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减少的主要原因是落实过“紧日子”要求，严格执行开支标准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厉行节约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。其中：</w:t>
      </w:r>
    </w:p>
    <w:p w14:paraId="78B3DD2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因公出国(境)费支出预算为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万元，预算决算金额均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为0万元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，无法计算完成百分比，主要原因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是单位未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因公出国（境），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与上年相比持平均为0万元，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无法计算完成百分比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主要原因是单位未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因公出国（境）。</w:t>
      </w:r>
    </w:p>
    <w:p w14:paraId="51F1A09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公务接待费支出预算为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2.00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万元，支出决算为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0.74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万元，完成预算的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37.00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%，决算数小于预算数的主要原因是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受疫情影响，接待人次减少，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与上年相比减少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0.29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万元，减少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28.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%,减少的主要原因是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受疫情影响，接待人次减少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。</w:t>
      </w:r>
    </w:p>
    <w:p w14:paraId="3C47297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公务用车购置费支出预算为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万元，预算决算金额均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为0万元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，无法计算完成百分比，主要原因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是未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购置公务用车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与上年相比持平均为0万元，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无法计算完成百分比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主要原因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是未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购置公务用车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。</w:t>
      </w:r>
    </w:p>
    <w:p w14:paraId="0C2E50B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公务用车运行维护费支出预算为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3.84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万元，支出决算为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1.88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万元，完成预算的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4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8.96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%，决算数小于预算数的主要原因是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受疫情影响，用车次数减少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，与上年相比减少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0.08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万元，减少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4.0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%,减少的主要原因是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受疫情影响，用车次数减少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。</w:t>
      </w:r>
    </w:p>
    <w:p w14:paraId="09089A9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（二）“三公”经费财政拨款支出决算具体情况说明</w:t>
      </w:r>
    </w:p>
    <w:p w14:paraId="0A727F7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年度“三公”经费财政拨款支出决算中，公务接待费支出决算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0.74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万元，占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28.24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%,因公出国（境）费支出决算0万元，公务用车购置费及运行维护费支出决算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1.88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万元，占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71.76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%。其中：</w:t>
      </w:r>
    </w:p>
    <w:p w14:paraId="21A6EA4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因公出国（境）费支出决算为0万元，全年安排因公出国（境）团组0个，累计</w:t>
      </w:r>
      <w:bookmarkStart w:id="0" w:name="THERR_YGCGJFY_TZRS"/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0</w:t>
      </w:r>
      <w:bookmarkEnd w:id="0"/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人次，主要是</w:t>
      </w:r>
      <w:bookmarkStart w:id="1" w:name="THERR_YGCGJFY_ZYYY"/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2022年我单位没有因公出国（境）费支出</w:t>
      </w:r>
      <w:bookmarkEnd w:id="1"/>
      <w:bookmarkStart w:id="2" w:name="END_THERR_YGCGJFY_AMT"/>
      <w:bookmarkEnd w:id="2"/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。</w:t>
      </w:r>
    </w:p>
    <w:p w14:paraId="56713D0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公务接待费支出决算为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0.74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万元，全年共接待来访团组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13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个、来宾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52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人次，主要是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机构编制业务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发生的接待支出。</w:t>
      </w:r>
    </w:p>
    <w:p w14:paraId="1F6ECC8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公务用车购置费及运行维护费支出决算为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1.88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万元，其中：公务用车购置费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0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万元，公务用车运行维护费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1.88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万元，主要是用车相关支出，截止202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年12月31日，我单位开支财政拨款的公务用车保有量为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辆。</w:t>
      </w:r>
    </w:p>
    <w:p w14:paraId="2487D7A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八、政府性基金预算收入支出决算情况</w:t>
      </w:r>
    </w:p>
    <w:p w14:paraId="527F72E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年度本部门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无政府性基金收支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。</w:t>
      </w:r>
    </w:p>
    <w:p w14:paraId="1641062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、国有资本经营预算财政拨款支出决算情况</w:t>
      </w:r>
    </w:p>
    <w:p w14:paraId="53B4EFA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年度本部门无国有资本经营预算财政拨款支出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。</w:t>
      </w:r>
    </w:p>
    <w:p w14:paraId="492F9FC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hAnsi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hAnsi="黑体" w:cs="黑体"/>
          <w:b w:val="0"/>
          <w:bCs/>
          <w:sz w:val="32"/>
          <w:szCs w:val="32"/>
          <w:lang w:val="en-US" w:eastAsia="zh-CN"/>
        </w:rPr>
        <w:t>十、关于机关运行经费支出说明</w:t>
      </w:r>
    </w:p>
    <w:p w14:paraId="24FCC59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年度本部门机关运行经费支出</w:t>
      </w:r>
      <w:r>
        <w:rPr>
          <w:rFonts w:hint="default" w:ascii="Times New Roman" w:hAnsi="Times New Roman" w:eastAsia="仿宋_GB2312"/>
          <w:sz w:val="32"/>
          <w:szCs w:val="32"/>
        </w:rPr>
        <w:t>100.19</w:t>
      </w:r>
      <w:r>
        <w:rPr>
          <w:rFonts w:hint="eastAsia" w:ascii="Times New Roman" w:hAnsi="Times New Roman" w:eastAsia="仿宋_GB2312"/>
          <w:sz w:val="32"/>
          <w:szCs w:val="32"/>
        </w:rPr>
        <w:t>万元，比年初预算数增加</w:t>
      </w:r>
      <w:r>
        <w:rPr>
          <w:rFonts w:hint="default" w:ascii="Times New Roman" w:hAnsi="Times New Roman" w:eastAsia="仿宋_GB2312"/>
          <w:sz w:val="32"/>
          <w:szCs w:val="32"/>
        </w:rPr>
        <w:t>11.04</w:t>
      </w:r>
      <w:r>
        <w:rPr>
          <w:rFonts w:hint="eastAsia" w:ascii="Times New Roman" w:hAnsi="Times New Roman" w:eastAsia="仿宋_GB2312"/>
          <w:sz w:val="32"/>
          <w:szCs w:val="32"/>
        </w:rPr>
        <w:t>万元，增长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9.93</w:t>
      </w:r>
      <w:r>
        <w:rPr>
          <w:rFonts w:hint="eastAsia" w:ascii="Times New Roman" w:hAnsi="Times New Roman" w:eastAsia="仿宋_GB2312"/>
          <w:sz w:val="32"/>
          <w:szCs w:val="32"/>
        </w:rPr>
        <w:t>%。主要原因是：因为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今年我市作为全省事业单位改革试点市之一，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工作任务增加，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机关运行经费支出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增长较多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30C5A97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hAnsi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val="en-US" w:eastAsia="zh-CN"/>
        </w:rPr>
        <w:t>一、一般性支出情况说明</w:t>
      </w:r>
    </w:p>
    <w:p w14:paraId="53815BE8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年本部门开支会议费</w:t>
      </w:r>
      <w:r>
        <w:rPr>
          <w:rFonts w:hint="default" w:ascii="Times New Roman" w:hAnsi="Times New Roman" w:eastAsia="仿宋_GB2312"/>
          <w:sz w:val="32"/>
          <w:szCs w:val="32"/>
        </w:rPr>
        <w:t>0.</w:t>
      </w:r>
      <w:r>
        <w:rPr>
          <w:rFonts w:hint="eastAsia" w:ascii="Times New Roman" w:hAnsi="Times New Roman" w:eastAsia="仿宋_GB2312"/>
          <w:sz w:val="32"/>
          <w:szCs w:val="32"/>
        </w:rPr>
        <w:t>62万元，用于召开</w:t>
      </w:r>
      <w:r>
        <w:rPr>
          <w:rFonts w:hint="default" w:ascii="Times New Roman" w:hAnsi="Times New Roman" w:eastAsia="仿宋_GB2312"/>
          <w:sz w:val="32"/>
          <w:szCs w:val="32"/>
        </w:rPr>
        <w:t>全市编办主任</w:t>
      </w:r>
      <w:r>
        <w:rPr>
          <w:rFonts w:hint="eastAsia" w:ascii="Times New Roman" w:hAnsi="Times New Roman" w:eastAsia="仿宋_GB2312"/>
          <w:sz w:val="32"/>
          <w:szCs w:val="32"/>
        </w:rPr>
        <w:t>会议，人数</w:t>
      </w:r>
      <w:r>
        <w:rPr>
          <w:rFonts w:hint="default" w:ascii="Times New Roman" w:hAnsi="Times New Roman" w:eastAsia="仿宋_GB2312"/>
          <w:sz w:val="32"/>
          <w:szCs w:val="32"/>
        </w:rPr>
        <w:t>约52</w:t>
      </w:r>
      <w:r>
        <w:rPr>
          <w:rFonts w:hint="eastAsia" w:ascii="Times New Roman" w:hAnsi="Times New Roman" w:eastAsia="仿宋_GB2312"/>
          <w:sz w:val="32"/>
          <w:szCs w:val="32"/>
        </w:rPr>
        <w:t>人，内容为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研究部署202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年全市机构编制工作；</w:t>
      </w:r>
    </w:p>
    <w:p w14:paraId="785BE965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年本部门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无培训费支出；</w:t>
      </w:r>
    </w:p>
    <w:p w14:paraId="104B0453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年本部门没有举办节庆、晚会、论坛、赛事活动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 w14:paraId="780FB72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、关于政府采购支出说明</w:t>
      </w:r>
    </w:p>
    <w:p w14:paraId="4BCB4EE1"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本部门202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年度政府采购支出总额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万元，其中：政府采购货物支出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万元、政府采购工程支出</w:t>
      </w:r>
      <w:r>
        <w:rPr>
          <w:rFonts w:hint="default" w:ascii="仿宋_GB2312" w:hAnsi="仿宋_GB2312" w:eastAsia="仿宋_GB2312"/>
          <w:sz w:val="32"/>
          <w:szCs w:val="32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万元、政府采购服务支出</w:t>
      </w:r>
      <w:r>
        <w:rPr>
          <w:rFonts w:hint="default" w:ascii="仿宋_GB2312" w:hAnsi="仿宋_GB2312" w:eastAsia="仿宋_GB2312"/>
          <w:sz w:val="32"/>
          <w:szCs w:val="32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万元。授予中小企业合同金额</w:t>
      </w:r>
      <w:r>
        <w:rPr>
          <w:rFonts w:hint="default" w:ascii="仿宋_GB2312" w:hAnsi="仿宋_GB2312" w:eastAsia="仿宋_GB2312"/>
          <w:sz w:val="32"/>
          <w:szCs w:val="32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万元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无法计算授予中小企业合同金额占政府采购支出总额的百分比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  <w:bookmarkStart w:id="3" w:name="DIS_MARK_GP_BGT_CGHW_AMT"/>
      <w:r>
        <w:rPr>
          <w:rFonts w:hint="eastAsia" w:ascii="仿宋_GB2312" w:hAnsi="仿宋_GB2312" w:eastAsia="仿宋_GB2312"/>
          <w:sz w:val="32"/>
          <w:szCs w:val="32"/>
        </w:rPr>
        <w:t>其中：授予小微企业合同金额0万元，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无法计算授予</w:t>
      </w:r>
      <w:r>
        <w:rPr>
          <w:rFonts w:hint="eastAsia" w:ascii="仿宋_GB2312" w:hAnsi="仿宋_GB2312" w:eastAsia="仿宋_GB2312"/>
          <w:sz w:val="32"/>
          <w:szCs w:val="32"/>
        </w:rPr>
        <w:t>小微企业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合同金额占政府采购支出总额的百分比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由于</w:t>
      </w:r>
      <w:r>
        <w:rPr>
          <w:rFonts w:hint="eastAsia" w:ascii="仿宋_GB2312" w:hAnsi="仿宋_GB2312" w:eastAsia="仿宋_GB2312"/>
          <w:sz w:val="32"/>
          <w:szCs w:val="32"/>
        </w:rPr>
        <w:t>货物采购授予中小企业合同金额占货物支出金额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0万元</w:t>
      </w:r>
      <w:bookmarkEnd w:id="3"/>
      <w:bookmarkStart w:id="4" w:name="END_GP_BGT_CGHW_AMT"/>
      <w:bookmarkEnd w:id="4"/>
      <w:bookmarkStart w:id="5" w:name="END_GP_BGT_CGHW_AMT_1"/>
      <w:bookmarkEnd w:id="5"/>
      <w:bookmarkStart w:id="6" w:name="END_GP_BGT_CGGC_AMT"/>
      <w:bookmarkEnd w:id="6"/>
      <w:bookmarkStart w:id="7" w:name="DIS_MARK_GP_BGT_CGGC_AMT"/>
      <w:bookmarkEnd w:id="7"/>
      <w:bookmarkStart w:id="8" w:name="START_GP_BGT_CGHW_AMT_1"/>
      <w:bookmarkEnd w:id="8"/>
      <w:bookmarkStart w:id="9" w:name="START_GP_BGT_CGGC_AMT"/>
      <w:bookmarkEnd w:id="9"/>
      <w:bookmarkStart w:id="10" w:name="START_GP_BGT_CGGC_AMT_1"/>
      <w:bookmarkEnd w:id="10"/>
      <w:bookmarkStart w:id="11" w:name="DIS_MARK_GP_BGT_CGHW_AMT_1"/>
      <w:bookmarkEnd w:id="11"/>
      <w:bookmarkStart w:id="12" w:name="DIS_MARK_GP_BGT_CGGC_AMT_1"/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无法计算货物采购授予中小企业合同金额占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货物</w:t>
      </w:r>
      <w:r>
        <w:rPr>
          <w:rFonts w:hint="eastAsia" w:ascii="仿宋_GB2312" w:hAnsi="仿宋_GB2312" w:eastAsia="仿宋_GB2312"/>
          <w:sz w:val="32"/>
          <w:szCs w:val="32"/>
        </w:rPr>
        <w:t>支出金额的百分比；由于工程支出金额为0万元，无法计算工程采购授予中小企业合同金额占工程支出金额的百分比；</w:t>
      </w:r>
      <w:bookmarkEnd w:id="12"/>
      <w:bookmarkStart w:id="13" w:name="START_GP_BGT_CGFW_AMT"/>
      <w:bookmarkEnd w:id="13"/>
      <w:bookmarkStart w:id="14" w:name="END_GP_BGT_CGGC_AMT_1"/>
      <w:bookmarkEnd w:id="14"/>
      <w:bookmarkStart w:id="15" w:name="DIS_MARK_GP_BGT_CGFW_AMT"/>
      <w:r>
        <w:rPr>
          <w:rFonts w:hint="eastAsia" w:ascii="仿宋_GB2312" w:hAnsi="仿宋_GB2312" w:eastAsia="仿宋_GB2312"/>
          <w:sz w:val="32"/>
          <w:szCs w:val="32"/>
        </w:rPr>
        <w:t>由于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/>
          <w:sz w:val="32"/>
          <w:szCs w:val="32"/>
        </w:rPr>
        <w:t>支出金额为0万元，无法计算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/>
          <w:sz w:val="32"/>
          <w:szCs w:val="32"/>
        </w:rPr>
        <w:t>采购授予中小企业合同金额占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/>
          <w:sz w:val="32"/>
          <w:szCs w:val="32"/>
        </w:rPr>
        <w:t>支出金额的百分比</w:t>
      </w:r>
      <w:bookmarkEnd w:id="15"/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 w14:paraId="2C68A95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、关于国有资产占用情况说明</w:t>
      </w:r>
    </w:p>
    <w:p w14:paraId="3EE7F96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截至2022年12月31日，本单位共有车辆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辆，其中，主要领导干部用车0辆，机要通信用车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辆、应急保障用车0辆、执法执勤用车0辆、特种专业技术用车0辆、其他用车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辆；单位价值50万元以上通用设备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台（套）；单位价值100万元以上专用设备0台（套）。</w:t>
      </w:r>
    </w:p>
    <w:p w14:paraId="68207D0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十三、关于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年度预算绩效情况的说明</w:t>
      </w:r>
    </w:p>
    <w:p w14:paraId="66B172B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b/>
          <w:bCs/>
          <w:color w:val="000000"/>
          <w:kern w:val="0"/>
          <w:sz w:val="32"/>
          <w:szCs w:val="32"/>
          <w:lang w:val="en-US" w:eastAsia="zh-CN" w:bidi="ar-SA"/>
        </w:rPr>
        <w:t>（一）部门整体支出绩效情况</w:t>
      </w:r>
    </w:p>
    <w:p w14:paraId="4630F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2022年，市委编办在市委、市委编委和省委编办的正确领导下，以党的二十大精神和习近平新时代中国特色社会主义思想为指引，坚决贯彻落实党管机构编制原则，紧紧围绕市委“五新四城”战略，认真抓好各项改革工作，较好的完成了全年工作任务。现将今年工作情况汇报如下：</w:t>
      </w:r>
    </w:p>
    <w:p w14:paraId="15570F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(一)矢志不渝坚持党建引领</w:t>
      </w:r>
    </w:p>
    <w:p w14:paraId="10B7B5BC"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时刻把讲政治摆在首位，对上级党委召开的重要会议、作出的重大决策部署坚持第一时间学习贯彻落实。不断强化党要管党、从严治党意识，抓紧抓牢机关党建各项工作。一是抓细抓深党的二十大精神学习。二是抓牢抓实意识形态。三是抓长抓常组织建设。</w:t>
      </w:r>
    </w:p>
    <w:p w14:paraId="6BEFDA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(二)围绕中心谋划业务工作</w:t>
      </w:r>
    </w:p>
    <w:p w14:paraId="4FECC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不断强化政治担当、历史担当，紧紧围绕市委“五新四城”战略，主动作为，稳中求进，增强系统观念，统筹优化机构编制资源配置，不断提升资源使用效益。一是全力助推经济发展。二是盘活用好编制资源。三是加强文物保护和考古工作机构编制保障。四是扎实开展调查研究。五是优质办理提案建议。</w:t>
      </w:r>
    </w:p>
    <w:p w14:paraId="2C8105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(三)凝心聚力统筹各类改革</w:t>
      </w:r>
    </w:p>
    <w:p w14:paraId="38E92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黑体"/>
          <w:color w:val="000000"/>
          <w:kern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以深化机构改革为重点，通过改革破难题、增活力，不断创新机构编制管理思路办法。根据统一部署安排，已完成国安体制、绩效体制调整，完成了行政复议、疾病预防、国防动员体制改革工作。同时，着力推进应急、自然资源等行政执法改革。一是推进市县应急管理综合行政执法改革。二是推进市县自然资源行政执法改革。三是进一步理顺调优了市区征拆体制。四是开展党政机关内设机构优化。五是推进涉改人员转隶</w:t>
      </w:r>
      <w:r>
        <w:rPr>
          <w:rFonts w:hint="default" w:ascii="Times New Roman" w:hAnsi="Times New Roman" w:eastAsia="仿宋_GB2312" w:cs="黑体"/>
          <w:color w:val="000000"/>
          <w:kern w:val="0"/>
          <w:sz w:val="32"/>
          <w:szCs w:val="32"/>
          <w:lang w:eastAsia="zh-CN" w:bidi="ar-SA"/>
        </w:rPr>
        <w:t>。</w:t>
      </w:r>
    </w:p>
    <w:p w14:paraId="0DB2C24C">
      <w:pPr>
        <w:keepNext w:val="0"/>
        <w:keepLines w:val="0"/>
        <w:pageBreakBefore w:val="0"/>
        <w:widowControl/>
        <w:suppressLineNumbers w:val="0"/>
        <w:tabs>
          <w:tab w:val="left" w:pos="9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(四)主动作为梳理安全生产职责</w:t>
      </w:r>
    </w:p>
    <w:p w14:paraId="203450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紧盯安全生产这个重中之重，主动对市安委会成员单位、市政府工作部门承担的安全生产职责进行全面梳理、明晰，确保责任落实落地,这一做法得到了省政府、省委编办、省安委会的肯定和推介。一是全面梳理职能职责。二是全面厘清职责边界。三是全面落实职责分工。</w:t>
      </w:r>
    </w:p>
    <w:p w14:paraId="54E5DF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(五)坚持不懈抓实监督检查</w:t>
      </w:r>
    </w:p>
    <w:p w14:paraId="2A543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认真学习贯彻《中国共产党机构编制工作条例》及相关法规制度，以专项整治为抓手，狠抓问题整改，进一步增强机构编制刚性约束。一是抓好巡视问题整改落实。二是紧盯违纪违规违法问题清理整治工作。三是有序推进行政编制超编专项整治工作。</w:t>
      </w:r>
    </w:p>
    <w:p w14:paraId="209265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(六)尽锐出战抓牢疫情防控</w:t>
      </w:r>
    </w:p>
    <w:p w14:paraId="1BF21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今年我市遭遇了三轮较严重疫情冲击，我办第一时间安排干部下沉社区，与社区党员干部并肩作战，抵御疫情冲击，有力有效守护了人民群众健康安全。一是全员出动参与疫情防控。二是进一步优化党建引领社区治理。三是立足本职强化公卫和疫病防控力量。</w:t>
      </w:r>
    </w:p>
    <w:p w14:paraId="1736DA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(七)久久为功规范日常管理</w:t>
      </w:r>
    </w:p>
    <w:p w14:paraId="2BA6ED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创新资源配置思路和方式，健全机构编制管理动态调整机制，加大统筹使用各类编制资源力度，全面加强机构编制实名制管理，充分发挥在管理全流程中的基础性作用。一是规范实名制管理。二是认真做好登记工作。三是扎实推进乡村振兴工作。四是做好综合管理平台相关工作。</w:t>
      </w:r>
    </w:p>
    <w:p w14:paraId="37431F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(八)坚定不移抓好队伍建设</w:t>
      </w:r>
    </w:p>
    <w:p w14:paraId="1A206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黑体"/>
          <w:color w:val="000000"/>
          <w:kern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着力打造一支高素质专业化的机构编制队伍，努力建设讲政治、守纪律、负责任、有效率的模范机关，树立正确用人导向</w:t>
      </w:r>
      <w:r>
        <w:rPr>
          <w:rFonts w:hint="default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广大干部群众对市委编办的满意度不断提升。一是紧抓党风廉政建设。二是严格机关日常管理。三是创建学习型机关</w:t>
      </w:r>
      <w:r>
        <w:rPr>
          <w:rFonts w:hint="default" w:ascii="Times New Roman" w:hAnsi="Times New Roman" w:eastAsia="仿宋_GB2312" w:cs="黑体"/>
          <w:color w:val="000000"/>
          <w:kern w:val="0"/>
          <w:sz w:val="32"/>
          <w:szCs w:val="32"/>
          <w:lang w:eastAsia="zh-CN" w:bidi="ar-SA"/>
        </w:rPr>
        <w:t>。</w:t>
      </w:r>
    </w:p>
    <w:p w14:paraId="2AB5384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黑体"/>
          <w:b/>
          <w:bCs/>
          <w:color w:val="000000"/>
          <w:kern w:val="0"/>
          <w:sz w:val="32"/>
          <w:szCs w:val="32"/>
          <w:lang w:val="en-US" w:eastAsia="zh-CN" w:bidi="ar-SA"/>
        </w:rPr>
        <w:t>（二）存在的问题及原因分析</w:t>
      </w:r>
    </w:p>
    <w:p w14:paraId="309E5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（一）科学编制年度预算。应进一步提高工作预见性及工作效率，提升预算准确度，降低预决算差异率，提高资金使用效益。</w:t>
      </w:r>
    </w:p>
    <w:p w14:paraId="61328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（二）加强财务管理，严格财务审核。在费用报账支付时，按照预算规定的费用项目和用途进行资金使用审核。</w:t>
      </w:r>
    </w:p>
    <w:p w14:paraId="273DD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（三）继续抓好“三公”经费控制管理。严格按制“三公”经费的规模和比例 ，把好“三公经费支出的审核、审批关。</w:t>
      </w:r>
    </w:p>
    <w:p w14:paraId="6C8D8B59">
      <w:pPr>
        <w:pStyle w:val="3"/>
        <w:rPr>
          <w:rFonts w:hint="eastAsia"/>
          <w:lang w:val="en-US" w:eastAsia="zh-CN"/>
        </w:rPr>
      </w:pPr>
    </w:p>
    <w:p w14:paraId="462ED153">
      <w:pPr>
        <w:pStyle w:val="13"/>
        <w:jc w:val="center"/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t>第四部分</w:t>
      </w:r>
    </w:p>
    <w:p w14:paraId="4F44A3E9">
      <w:pPr>
        <w:pStyle w:val="13"/>
        <w:jc w:val="center"/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t>名词解释</w:t>
      </w:r>
    </w:p>
    <w:p w14:paraId="4E31BE91">
      <w:pPr>
        <w:widowControl/>
        <w:jc w:val="left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</w:p>
    <w:p w14:paraId="49B1FD2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highlight w:val="none"/>
          <w:lang w:val="en-US" w:eastAsia="zh-CN"/>
        </w:rPr>
        <w:t>一、机关运行经费：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为保障行政单位（包括参照公务员法管理的事业单位）运行，用一般公共预算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 w14:paraId="76378C1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highlight w:val="none"/>
          <w:lang w:val="en-US" w:eastAsia="zh-CN"/>
        </w:rPr>
        <w:t>二、“三公”经费：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14:paraId="64FB769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</w:p>
    <w:p w14:paraId="67B21E1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center"/>
        <w:textAlignment w:val="auto"/>
        <w:rPr>
          <w:rFonts w:hint="eastAsia" w:hAnsi="黑体" w:cs="黑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hAnsi="黑体" w:cs="黑体"/>
          <w:b/>
          <w:bCs/>
          <w:sz w:val="44"/>
          <w:szCs w:val="44"/>
          <w:highlight w:val="none"/>
          <w:lang w:val="en-US" w:eastAsia="zh-CN"/>
        </w:rPr>
        <w:t>第五部分</w:t>
      </w:r>
    </w:p>
    <w:p w14:paraId="1FEF4B0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center"/>
        <w:textAlignment w:val="auto"/>
        <w:rPr>
          <w:rFonts w:hint="eastAsia" w:hAnsi="黑体" w:cs="黑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hAnsi="黑体" w:cs="黑体"/>
          <w:b/>
          <w:bCs/>
          <w:sz w:val="44"/>
          <w:szCs w:val="44"/>
          <w:highlight w:val="none"/>
          <w:lang w:val="en-US" w:eastAsia="zh-CN"/>
        </w:rPr>
        <w:t>附件</w:t>
      </w:r>
    </w:p>
    <w:p w14:paraId="12BCE63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1、2022年度部门决算表</w:t>
      </w:r>
    </w:p>
    <w:p w14:paraId="010D9DB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2、2022年度部门整体支出绩效评价报告</w:t>
      </w:r>
    </w:p>
    <w:p w14:paraId="450990F4">
      <w:pPr>
        <w:pStyle w:val="3"/>
      </w:pPr>
      <w:bookmarkStart w:id="16" w:name="_GoBack"/>
      <w:bookmarkEnd w:id="16"/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7E9E04"/>
    <w:multiLevelType w:val="singleLevel"/>
    <w:tmpl w:val="DF7E9E0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YmUzM2Q4ZmViM2NjZjFlNGMzOTgzMmEyMzMxYzgifQ=="/>
  </w:docVars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3B629A7"/>
    <w:rsid w:val="03CA1FAF"/>
    <w:rsid w:val="04706FFA"/>
    <w:rsid w:val="05A351AD"/>
    <w:rsid w:val="06BF06FF"/>
    <w:rsid w:val="0E66752F"/>
    <w:rsid w:val="12A70ECA"/>
    <w:rsid w:val="13FD016A"/>
    <w:rsid w:val="1BEF9D6F"/>
    <w:rsid w:val="2069313E"/>
    <w:rsid w:val="23BA3996"/>
    <w:rsid w:val="266D6A9E"/>
    <w:rsid w:val="273D46C2"/>
    <w:rsid w:val="2FF50110"/>
    <w:rsid w:val="322C2218"/>
    <w:rsid w:val="34551C04"/>
    <w:rsid w:val="3A984BE7"/>
    <w:rsid w:val="45D352D1"/>
    <w:rsid w:val="5777D4F5"/>
    <w:rsid w:val="57EE3633"/>
    <w:rsid w:val="58680D0F"/>
    <w:rsid w:val="5CE3689F"/>
    <w:rsid w:val="5E71262C"/>
    <w:rsid w:val="5FC6BB1E"/>
    <w:rsid w:val="5FF720F1"/>
    <w:rsid w:val="603158D4"/>
    <w:rsid w:val="683B749D"/>
    <w:rsid w:val="70750678"/>
    <w:rsid w:val="70D512F4"/>
    <w:rsid w:val="737D59BA"/>
    <w:rsid w:val="77C37683"/>
    <w:rsid w:val="79FF515B"/>
    <w:rsid w:val="7AD76B63"/>
    <w:rsid w:val="7B5FF8E8"/>
    <w:rsid w:val="7E5320D8"/>
    <w:rsid w:val="7E9F11B4"/>
    <w:rsid w:val="7EF944E8"/>
    <w:rsid w:val="7FC69637"/>
    <w:rsid w:val="7FDFCEE4"/>
    <w:rsid w:val="7FF0EF72"/>
    <w:rsid w:val="7FFDB408"/>
    <w:rsid w:val="9DEC8BB4"/>
    <w:rsid w:val="9F976620"/>
    <w:rsid w:val="BEFE488D"/>
    <w:rsid w:val="CBFF70E0"/>
    <w:rsid w:val="CEFB8DC2"/>
    <w:rsid w:val="CF7700DC"/>
    <w:rsid w:val="DD33362D"/>
    <w:rsid w:val="DFDF7295"/>
    <w:rsid w:val="EEABED75"/>
    <w:rsid w:val="F77FD26E"/>
    <w:rsid w:val="F7EF51FB"/>
    <w:rsid w:val="FB36E1A6"/>
    <w:rsid w:val="FCFF9FF2"/>
    <w:rsid w:val="FDCC5877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next w:val="2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paragraph" w:styleId="8">
    <w:name w:val="Body Text First Indent"/>
    <w:basedOn w:val="3"/>
    <w:qFormat/>
    <w:uiPriority w:val="0"/>
    <w:pPr>
      <w:ind w:firstLine="664"/>
    </w:p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引文目录1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5224</Words>
  <Characters>5702</Characters>
  <Lines>63</Lines>
  <Paragraphs>18</Paragraphs>
  <TotalTime>4</TotalTime>
  <ScaleCrop>false</ScaleCrop>
  <LinksUpToDate>false</LinksUpToDate>
  <CharactersWithSpaces>5703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2020-07-05T02:32:00Z</dcterms:created>
  <dc:creator>李航 null</dc:creator>
  <cp:lastModifiedBy>静静的森琳</cp:lastModifiedBy>
  <cp:lastPrinted>2023-08-15T17:28:00Z</cp:lastPrinted>
  <dcterms:modified xsi:type="dcterms:W3CDTF">2024-10-18T07:34:44Z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14F2A0627EAA434EBB753C3E0CC3C044_12</vt:lpwstr>
  </property>
</Properties>
</file>